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7A13" w14:textId="77777777" w:rsidR="000C1A3B" w:rsidRPr="006F0D04" w:rsidRDefault="000C1A3B" w:rsidP="000C1A3B">
      <w:pPr>
        <w:pStyle w:val="NoSpacing"/>
        <w:rPr>
          <w:rFonts w:ascii="Calibri" w:hAnsi="Calibri"/>
          <w:b/>
          <w:sz w:val="20"/>
          <w:szCs w:val="20"/>
        </w:rPr>
      </w:pPr>
      <w:r w:rsidRPr="006F0D04">
        <w:rPr>
          <w:rFonts w:ascii="Calibri" w:hAnsi="Calibri"/>
          <w:b/>
          <w:sz w:val="20"/>
          <w:szCs w:val="20"/>
        </w:rPr>
        <w:t>FOR IMMEDIATE RELEASE</w:t>
      </w:r>
    </w:p>
    <w:p w14:paraId="5CA5E964" w14:textId="77777777" w:rsidR="000C1A3B" w:rsidRDefault="000C1A3B" w:rsidP="000C1A3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July 11, 2016</w:t>
      </w:r>
    </w:p>
    <w:p w14:paraId="63F78DE6" w14:textId="77777777" w:rsidR="000C1A3B" w:rsidRPr="006F0D04" w:rsidRDefault="000C1A3B" w:rsidP="000C1A3B">
      <w:pPr>
        <w:pStyle w:val="NoSpacing"/>
        <w:rPr>
          <w:rFonts w:ascii="Calibri" w:hAnsi="Calibri"/>
          <w:sz w:val="20"/>
          <w:szCs w:val="20"/>
        </w:rPr>
      </w:pPr>
    </w:p>
    <w:p w14:paraId="2B0B91F7" w14:textId="77777777" w:rsidR="000C1A3B" w:rsidRPr="006F0D04" w:rsidRDefault="000C1A3B" w:rsidP="000C1A3B">
      <w:pPr>
        <w:pStyle w:val="NoSpacing"/>
        <w:jc w:val="right"/>
        <w:rPr>
          <w:rFonts w:ascii="Calibri" w:hAnsi="Calibri"/>
          <w:b/>
          <w:sz w:val="20"/>
          <w:szCs w:val="20"/>
        </w:rPr>
      </w:pPr>
      <w:r w:rsidRPr="006F0D04">
        <w:rPr>
          <w:rFonts w:ascii="Calibri" w:hAnsi="Calibri"/>
          <w:b/>
          <w:sz w:val="20"/>
          <w:szCs w:val="20"/>
        </w:rPr>
        <w:t>CONTACT:</w:t>
      </w:r>
    </w:p>
    <w:p w14:paraId="75EB694C" w14:textId="77777777" w:rsidR="000C1A3B" w:rsidRDefault="000C1A3B" w:rsidP="000C1A3B">
      <w:pPr>
        <w:pStyle w:val="NoSpacing"/>
        <w:jc w:val="right"/>
        <w:rPr>
          <w:rFonts w:ascii="Calibri" w:hAnsi="Calibri"/>
          <w:sz w:val="20"/>
          <w:szCs w:val="20"/>
        </w:rPr>
      </w:pPr>
      <w:r w:rsidRPr="006F0D04">
        <w:rPr>
          <w:rFonts w:ascii="Calibri" w:hAnsi="Calibri"/>
          <w:sz w:val="20"/>
          <w:szCs w:val="20"/>
        </w:rPr>
        <w:t xml:space="preserve">Jennifer </w:t>
      </w:r>
      <w:proofErr w:type="spellStart"/>
      <w:r w:rsidRPr="006F0D04">
        <w:rPr>
          <w:rFonts w:ascii="Calibri" w:hAnsi="Calibri"/>
          <w:sz w:val="20"/>
          <w:szCs w:val="20"/>
        </w:rPr>
        <w:t>Bassman</w:t>
      </w:r>
      <w:proofErr w:type="spellEnd"/>
      <w:r w:rsidRPr="006F0D04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Marketing Manager </w:t>
      </w:r>
      <w:r w:rsidRPr="006F0D04">
        <w:rPr>
          <w:rFonts w:ascii="Calibri" w:hAnsi="Calibri"/>
          <w:sz w:val="20"/>
          <w:szCs w:val="20"/>
        </w:rPr>
        <w:t xml:space="preserve">• </w:t>
      </w:r>
      <w:hyperlink r:id="rId5" w:history="1">
        <w:r>
          <w:rPr>
            <w:rStyle w:val="Hyperlink"/>
            <w:rFonts w:ascii="Calibri" w:hAnsi="Calibri"/>
            <w:sz w:val="20"/>
            <w:szCs w:val="20"/>
          </w:rPr>
          <w:t>info@groundswellcenter.org</w:t>
        </w:r>
      </w:hyperlink>
      <w:r w:rsidRPr="006F0D04"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607.319.5095</w:t>
      </w:r>
    </w:p>
    <w:p w14:paraId="63338E21" w14:textId="77777777" w:rsidR="000C1A3B" w:rsidRDefault="000C1A3B" w:rsidP="000C1A3B">
      <w:pPr>
        <w:pStyle w:val="NoSpacing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Elizabeth Gabriel, Director • elizabeth@groundswellcenter.org</w:t>
      </w:r>
    </w:p>
    <w:p w14:paraId="4BE07C34" w14:textId="77777777" w:rsidR="000C1A3B" w:rsidRPr="006F0D04" w:rsidRDefault="000C1A3B" w:rsidP="000C1A3B">
      <w:pPr>
        <w:pStyle w:val="NoSpacing"/>
        <w:jc w:val="center"/>
        <w:rPr>
          <w:rFonts w:ascii="Calibri" w:hAnsi="Calibri"/>
          <w:sz w:val="20"/>
          <w:szCs w:val="20"/>
        </w:rPr>
      </w:pPr>
    </w:p>
    <w:p w14:paraId="7E09A629" w14:textId="77777777" w:rsidR="000C1A3B" w:rsidRPr="006F0D04" w:rsidRDefault="000C1A3B" w:rsidP="000C1A3B">
      <w:pPr>
        <w:pStyle w:val="NoSpacing"/>
        <w:rPr>
          <w:rFonts w:ascii="Calibri" w:hAnsi="Calibri"/>
          <w:sz w:val="20"/>
          <w:szCs w:val="20"/>
        </w:rPr>
      </w:pPr>
    </w:p>
    <w:p w14:paraId="533879D7" w14:textId="77777777" w:rsidR="000C1A3B" w:rsidRPr="006F0D04" w:rsidRDefault="000C1A3B" w:rsidP="000C1A3B">
      <w:pPr>
        <w:pStyle w:val="NoSpacing"/>
        <w:jc w:val="right"/>
        <w:rPr>
          <w:rFonts w:ascii="Calibri" w:hAnsi="Calibri"/>
          <w:b/>
          <w:sz w:val="20"/>
          <w:szCs w:val="20"/>
        </w:rPr>
      </w:pPr>
      <w:r w:rsidRPr="006F0D04">
        <w:rPr>
          <w:rFonts w:ascii="Calibri" w:hAnsi="Calibri"/>
          <w:b/>
          <w:sz w:val="20"/>
          <w:szCs w:val="20"/>
        </w:rPr>
        <w:t xml:space="preserve">GENERAL </w:t>
      </w:r>
      <w:r>
        <w:rPr>
          <w:rFonts w:ascii="Calibri" w:hAnsi="Calibri"/>
          <w:b/>
          <w:sz w:val="20"/>
          <w:szCs w:val="20"/>
        </w:rPr>
        <w:t>INFORMATION</w:t>
      </w:r>
      <w:r w:rsidRPr="006F0D04">
        <w:rPr>
          <w:rFonts w:ascii="Calibri" w:hAnsi="Calibri"/>
          <w:b/>
          <w:sz w:val="20"/>
          <w:szCs w:val="20"/>
        </w:rPr>
        <w:t xml:space="preserve">: </w:t>
      </w:r>
    </w:p>
    <w:p w14:paraId="38A70C31" w14:textId="77777777" w:rsidR="000C1A3B" w:rsidRPr="006F0D04" w:rsidRDefault="00DE2BC2" w:rsidP="000C1A3B">
      <w:pPr>
        <w:pStyle w:val="NoSpacing"/>
        <w:jc w:val="right"/>
        <w:rPr>
          <w:rStyle w:val="Hyperlink"/>
          <w:rFonts w:ascii="Calibri" w:hAnsi="Calibri"/>
          <w:sz w:val="20"/>
          <w:szCs w:val="20"/>
        </w:rPr>
      </w:pPr>
      <w:hyperlink r:id="rId6" w:history="1">
        <w:r w:rsidR="000C1A3B">
          <w:rPr>
            <w:rStyle w:val="Hyperlink"/>
            <w:rFonts w:ascii="Calibri" w:hAnsi="Calibri"/>
            <w:sz w:val="20"/>
            <w:szCs w:val="20"/>
          </w:rPr>
          <w:t>www.groundswellcenter.org</w:t>
        </w:r>
      </w:hyperlink>
    </w:p>
    <w:p w14:paraId="7B8B7A88" w14:textId="77777777" w:rsidR="000C1A3B" w:rsidRPr="006F0D04" w:rsidRDefault="000C1A3B" w:rsidP="000C1A3B">
      <w:pPr>
        <w:pStyle w:val="NoSpacing"/>
        <w:jc w:val="right"/>
        <w:rPr>
          <w:rStyle w:val="Hyperlink"/>
          <w:rFonts w:ascii="Calibri" w:hAnsi="Calibri"/>
          <w:sz w:val="20"/>
          <w:szCs w:val="20"/>
        </w:rPr>
      </w:pPr>
    </w:p>
    <w:p w14:paraId="30E89F3B" w14:textId="77777777" w:rsidR="000C1A3B" w:rsidRPr="006F0D04" w:rsidRDefault="000C1A3B" w:rsidP="000C1A3B">
      <w:pPr>
        <w:pStyle w:val="NoSpacing"/>
        <w:jc w:val="right"/>
        <w:rPr>
          <w:rFonts w:ascii="Calibri" w:hAnsi="Calibri"/>
          <w:sz w:val="20"/>
          <w:szCs w:val="20"/>
        </w:rPr>
      </w:pPr>
    </w:p>
    <w:p w14:paraId="67315C98" w14:textId="77777777" w:rsidR="000C1A3B" w:rsidRDefault="000C1A3B" w:rsidP="000C1A3B">
      <w:pPr>
        <w:pStyle w:val="NoSpacing"/>
        <w:jc w:val="center"/>
        <w:rPr>
          <w:rFonts w:ascii="Calibri" w:hAnsi="Calibri"/>
          <w:b/>
          <w:sz w:val="40"/>
          <w:szCs w:val="40"/>
        </w:rPr>
      </w:pPr>
      <w:bookmarkStart w:id="0" w:name="_GoBack"/>
      <w:r>
        <w:rPr>
          <w:rFonts w:ascii="Calibri" w:hAnsi="Calibri"/>
          <w:b/>
          <w:sz w:val="40"/>
          <w:szCs w:val="40"/>
        </w:rPr>
        <w:t>Seeking Submissions for New Column:</w:t>
      </w:r>
    </w:p>
    <w:p w14:paraId="6BBA1BF7" w14:textId="77777777" w:rsidR="000C1A3B" w:rsidRPr="00F82D51" w:rsidRDefault="000C1A3B" w:rsidP="000C1A3B">
      <w:pPr>
        <w:pStyle w:val="NoSpacing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“Lessons from the Land”</w:t>
      </w:r>
    </w:p>
    <w:p w14:paraId="5DCFD062" w14:textId="77777777" w:rsidR="000C1A3B" w:rsidRPr="000C1A3B" w:rsidRDefault="000C1A3B" w:rsidP="000C1A3B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0C1A3B">
        <w:rPr>
          <w:rFonts w:asciiTheme="majorHAnsi" w:hAnsiTheme="majorHAnsi" w:cs="Arial"/>
          <w:b/>
          <w:color w:val="1A1A1A"/>
        </w:rPr>
        <w:t xml:space="preserve">Groundswell Center for Local Food &amp; Farming and Cornell Small Farms Program </w:t>
      </w:r>
      <w:r>
        <w:rPr>
          <w:rFonts w:asciiTheme="majorHAnsi" w:hAnsiTheme="majorHAnsi" w:cs="Arial"/>
          <w:b/>
          <w:color w:val="1A1A1A"/>
        </w:rPr>
        <w:t>t</w:t>
      </w:r>
      <w:r w:rsidR="000316A3">
        <w:rPr>
          <w:rFonts w:asciiTheme="majorHAnsi" w:hAnsiTheme="majorHAnsi" w:cs="Arial"/>
          <w:b/>
          <w:color w:val="1A1A1A"/>
        </w:rPr>
        <w:t xml:space="preserve">eam up to collect stories from </w:t>
      </w:r>
      <w:proofErr w:type="gramStart"/>
      <w:r w:rsidR="000316A3">
        <w:rPr>
          <w:rFonts w:asciiTheme="majorHAnsi" w:hAnsiTheme="majorHAnsi" w:cs="Arial"/>
          <w:b/>
          <w:color w:val="1A1A1A"/>
        </w:rPr>
        <w:t>Northeast</w:t>
      </w:r>
      <w:proofErr w:type="gramEnd"/>
      <w:r w:rsidR="000316A3">
        <w:rPr>
          <w:rFonts w:asciiTheme="majorHAnsi" w:hAnsiTheme="majorHAnsi" w:cs="Arial"/>
          <w:b/>
          <w:color w:val="1A1A1A"/>
        </w:rPr>
        <w:t xml:space="preserve"> regional</w:t>
      </w:r>
      <w:r>
        <w:rPr>
          <w:rFonts w:asciiTheme="majorHAnsi" w:hAnsiTheme="majorHAnsi" w:cs="Arial"/>
          <w:b/>
          <w:color w:val="1A1A1A"/>
        </w:rPr>
        <w:t xml:space="preserve"> farmers.</w:t>
      </w:r>
    </w:p>
    <w:p w14:paraId="087A30F9" w14:textId="77777777" w:rsidR="000C1A3B" w:rsidRDefault="000C1A3B" w:rsidP="000C1A3B">
      <w:pPr>
        <w:widowControl w:val="0"/>
        <w:autoSpaceDE w:val="0"/>
        <w:autoSpaceDN w:val="0"/>
        <w:adjustRightInd w:val="0"/>
        <w:jc w:val="both"/>
        <w:rPr>
          <w:rFonts w:ascii="Baskerville" w:hAnsi="Baskerville" w:cs="Baskerville"/>
          <w:b/>
        </w:rPr>
      </w:pPr>
    </w:p>
    <w:p w14:paraId="52B56D1D" w14:textId="737EAC5A" w:rsid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hAnsi="Georgia" w:cs="Baskerville"/>
          <w:b/>
        </w:rPr>
        <w:t>Ithaca, NY –</w:t>
      </w:r>
      <w:r w:rsidRPr="000C1A3B">
        <w:rPr>
          <w:rFonts w:ascii="Georgia" w:eastAsiaTheme="minorEastAsia" w:hAnsi="Georgia" w:cs="Arial"/>
          <w:color w:val="1A1A1A"/>
        </w:rPr>
        <w:t xml:space="preserve"> </w:t>
      </w:r>
      <w:hyperlink r:id="rId7" w:history="1">
        <w:r w:rsidRPr="000C1A3B">
          <w:rPr>
            <w:rFonts w:ascii="Georgia" w:eastAsiaTheme="minorEastAsia" w:hAnsi="Georgia" w:cs="Arial"/>
            <w:color w:val="103CC0"/>
            <w:u w:val="single" w:color="103CC0"/>
          </w:rPr>
          <w:t>Groundswell Center for Local Food &amp; Farming</w:t>
        </w:r>
      </w:hyperlink>
      <w:r w:rsidRPr="000C1A3B">
        <w:rPr>
          <w:rFonts w:ascii="Georgia" w:eastAsiaTheme="minorEastAsia" w:hAnsi="Georgia" w:cs="Arial"/>
          <w:color w:val="1A1A1A"/>
        </w:rPr>
        <w:t xml:space="preserve"> and </w:t>
      </w:r>
      <w:hyperlink r:id="rId8" w:history="1">
        <w:r w:rsidRPr="000C1A3B">
          <w:rPr>
            <w:rFonts w:ascii="Georgia" w:eastAsiaTheme="minorEastAsia" w:hAnsi="Georgia" w:cs="Arial"/>
            <w:color w:val="103CC0"/>
            <w:u w:val="single" w:color="103CC0"/>
          </w:rPr>
          <w:t>Cornell Small Farms Program</w:t>
        </w:r>
      </w:hyperlink>
      <w:r w:rsidRPr="000C1A3B">
        <w:rPr>
          <w:rFonts w:ascii="Georgia" w:eastAsiaTheme="minorEastAsia" w:hAnsi="Georgia" w:cs="Arial"/>
          <w:color w:val="1A1A1A"/>
        </w:rPr>
        <w:t xml:space="preserve"> are teaming up to create a new column called “Lessons from the Land,” which will first appear in the Fall 2016 issue of the Small Farm Quarterly.</w:t>
      </w:r>
      <w:r>
        <w:rPr>
          <w:rFonts w:ascii="Georgia" w:eastAsiaTheme="minorEastAsia" w:hAnsi="Georgia" w:cs="Arial"/>
          <w:color w:val="1A1A1A"/>
        </w:rPr>
        <w:t xml:space="preserve"> </w:t>
      </w:r>
      <w:r w:rsidRPr="000C1A3B">
        <w:rPr>
          <w:rFonts w:ascii="Georgia" w:eastAsiaTheme="minorEastAsia" w:hAnsi="Georgia" w:cs="Arial"/>
          <w:color w:val="1A1A1A"/>
        </w:rPr>
        <w:t>“Lessons from the Land” will capture and share the stories of and lessons learned from farmers, homesteaders and land workers ar</w:t>
      </w:r>
      <w:r>
        <w:rPr>
          <w:rFonts w:ascii="Georgia" w:eastAsiaTheme="minorEastAsia" w:hAnsi="Georgia" w:cs="Arial"/>
          <w:color w:val="1A1A1A"/>
        </w:rPr>
        <w:t>ound New York and the Northeast.</w:t>
      </w:r>
    </w:p>
    <w:p w14:paraId="1527D545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</w:p>
    <w:p w14:paraId="342D627A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>Too often, farmers and homesteaders exist in isolation</w:t>
      </w:r>
      <w:proofErr w:type="gramStart"/>
      <w:r w:rsidRPr="000C1A3B">
        <w:rPr>
          <w:rFonts w:ascii="Georgia" w:eastAsiaTheme="minorEastAsia" w:hAnsi="Georgia" w:cs="Arial"/>
          <w:color w:val="1A1A1A"/>
        </w:rPr>
        <w:t>;</w:t>
      </w:r>
      <w:proofErr w:type="gramEnd"/>
      <w:r w:rsidRPr="000C1A3B">
        <w:rPr>
          <w:rFonts w:ascii="Georgia" w:eastAsiaTheme="minorEastAsia" w:hAnsi="Georgia" w:cs="Arial"/>
          <w:color w:val="1A1A1A"/>
        </w:rPr>
        <w:t xml:space="preserve"> working long hard days, both overcoming significant and unpredictable challenges and also witnessing earth’s abundance.  Stories are a way to connect, unite, and share ideas, information and experiences. </w:t>
      </w:r>
    </w:p>
    <w:p w14:paraId="4C27B4D1" w14:textId="77777777" w:rsid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>We want to hear stories from growers of all types and size</w:t>
      </w:r>
      <w:r>
        <w:rPr>
          <w:rFonts w:ascii="Georgia" w:eastAsiaTheme="minorEastAsia" w:hAnsi="Georgia" w:cs="Arial"/>
          <w:color w:val="1A1A1A"/>
        </w:rPr>
        <w:t>s, on real topics, that matter.</w:t>
      </w:r>
    </w:p>
    <w:p w14:paraId="2A508F3E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</w:p>
    <w:p w14:paraId="6F9404C7" w14:textId="77777777" w:rsid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 xml:space="preserve">Each issue </w:t>
      </w:r>
      <w:r>
        <w:rPr>
          <w:rFonts w:ascii="Georgia" w:eastAsiaTheme="minorEastAsia" w:hAnsi="Georgia" w:cs="Arial"/>
          <w:color w:val="1A1A1A"/>
        </w:rPr>
        <w:t xml:space="preserve">of “Lessons from the Land” </w:t>
      </w:r>
      <w:r w:rsidRPr="000C1A3B">
        <w:rPr>
          <w:rFonts w:ascii="Georgia" w:eastAsiaTheme="minorEastAsia" w:hAnsi="Georgia" w:cs="Arial"/>
          <w:color w:val="1A1A1A"/>
        </w:rPr>
        <w:t xml:space="preserve">has a theme. Submissions of 400 – 800 words may be submitted online at </w:t>
      </w:r>
      <w:hyperlink r:id="rId9" w:history="1">
        <w:r w:rsidRPr="000C1A3B">
          <w:rPr>
            <w:rFonts w:ascii="Georgia" w:eastAsiaTheme="minorEastAsia" w:hAnsi="Georgia" w:cs="Arial"/>
            <w:color w:val="103CC0"/>
            <w:u w:val="single" w:color="103CC0"/>
          </w:rPr>
          <w:t>http://groundswellcenter.org/lessons-from-the-land/</w:t>
        </w:r>
      </w:hyperlink>
      <w:r w:rsidRPr="000C1A3B">
        <w:rPr>
          <w:rFonts w:ascii="Georgia" w:eastAsiaTheme="minorEastAsia" w:hAnsi="Georgia" w:cs="Arial"/>
          <w:color w:val="1A1A1A"/>
        </w:rPr>
        <w:t xml:space="preserve">. </w:t>
      </w:r>
      <w:r>
        <w:rPr>
          <w:rFonts w:ascii="Georgia" w:eastAsiaTheme="minorEastAsia" w:hAnsi="Georgia" w:cs="Arial"/>
          <w:color w:val="1A1A1A"/>
        </w:rPr>
        <w:t>O</w:t>
      </w:r>
      <w:r w:rsidRPr="000C1A3B">
        <w:rPr>
          <w:rFonts w:ascii="Georgia" w:eastAsiaTheme="minorEastAsia" w:hAnsi="Georgia" w:cs="Arial"/>
          <w:color w:val="1A1A1A"/>
        </w:rPr>
        <w:t>nly nonfiction submissions</w:t>
      </w:r>
      <w:r>
        <w:rPr>
          <w:rFonts w:ascii="Georgia" w:eastAsiaTheme="minorEastAsia" w:hAnsi="Georgia" w:cs="Arial"/>
          <w:color w:val="1A1A1A"/>
        </w:rPr>
        <w:t xml:space="preserve"> will be published</w:t>
      </w:r>
      <w:r w:rsidRPr="000C1A3B">
        <w:rPr>
          <w:rFonts w:ascii="Georgia" w:eastAsiaTheme="minorEastAsia" w:hAnsi="Georgia" w:cs="Arial"/>
          <w:color w:val="1A1A1A"/>
        </w:rPr>
        <w:t>. Feel free to submit your name, farm name, city and state or submit your piece as “anonymous” if it allows you to be more honest.</w:t>
      </w:r>
    </w:p>
    <w:p w14:paraId="1C883C88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</w:p>
    <w:p w14:paraId="3186F929" w14:textId="77777777" w:rsid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 xml:space="preserve">We reserve the right to edit your submission to meet space limitations or to be sensitive to privacy issues.  We will share changes with you before publishing. </w:t>
      </w:r>
      <w:r w:rsidRPr="000C1A3B">
        <w:rPr>
          <w:rFonts w:ascii="Georgia" w:eastAsiaTheme="minorEastAsia" w:hAnsi="Georgia" w:cs="Arial"/>
          <w:b/>
          <w:bCs/>
          <w:i/>
          <w:iCs/>
          <w:color w:val="1A1A1A"/>
        </w:rPr>
        <w:t xml:space="preserve">Because of space limitations, we are unable to print all the submissions we receive.  </w:t>
      </w:r>
      <w:r w:rsidRPr="000C1A3B">
        <w:rPr>
          <w:rFonts w:ascii="Georgia" w:eastAsiaTheme="minorEastAsia" w:hAnsi="Georgia" w:cs="Arial"/>
          <w:color w:val="1A1A1A"/>
        </w:rPr>
        <w:t>Selected entries will be published in each issue of the Small Farm Quarterly as well as online on the Groundswell Center and Small Farm Program websites. </w:t>
      </w:r>
    </w:p>
    <w:p w14:paraId="221165E0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</w:p>
    <w:p w14:paraId="107DFCE6" w14:textId="77777777" w:rsid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b/>
          <w:bCs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>The first “Lessons fr</w:t>
      </w:r>
      <w:r>
        <w:rPr>
          <w:rFonts w:ascii="Georgia" w:eastAsiaTheme="minorEastAsia" w:hAnsi="Georgia" w:cs="Arial"/>
          <w:color w:val="1A1A1A"/>
        </w:rPr>
        <w:t xml:space="preserve">om the Land” will appear in the </w:t>
      </w:r>
      <w:proofErr w:type="gramStart"/>
      <w:r w:rsidRPr="000C1A3B">
        <w:rPr>
          <w:rFonts w:ascii="Georgia" w:eastAsiaTheme="minorEastAsia" w:hAnsi="Georgia" w:cs="Arial"/>
          <w:color w:val="1A1A1A"/>
        </w:rPr>
        <w:t>Fall</w:t>
      </w:r>
      <w:proofErr w:type="gramEnd"/>
      <w:r w:rsidRPr="000C1A3B">
        <w:rPr>
          <w:rFonts w:ascii="Georgia" w:eastAsiaTheme="minorEastAsia" w:hAnsi="Georgia" w:cs="Arial"/>
          <w:color w:val="1A1A1A"/>
        </w:rPr>
        <w:t xml:space="preserve"> issue, due out in early October. The topic is “Water: Woes and Triumphs” and the submission deadline is </w:t>
      </w:r>
      <w:r w:rsidRPr="000C1A3B">
        <w:rPr>
          <w:rFonts w:ascii="Georgia" w:eastAsiaTheme="minorEastAsia" w:hAnsi="Georgia" w:cs="Arial"/>
          <w:b/>
          <w:bCs/>
          <w:color w:val="1A1A1A"/>
        </w:rPr>
        <w:t>August 12. </w:t>
      </w:r>
    </w:p>
    <w:bookmarkEnd w:id="0"/>
    <w:p w14:paraId="4C5BB1B6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</w:p>
    <w:p w14:paraId="74BD68C2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 xml:space="preserve">SUBMISSION LINK: </w:t>
      </w:r>
      <w:hyperlink r:id="rId10" w:history="1">
        <w:r w:rsidRPr="000C1A3B">
          <w:rPr>
            <w:rFonts w:ascii="Georgia" w:eastAsiaTheme="minorEastAsia" w:hAnsi="Georgia" w:cs="Arial"/>
            <w:color w:val="103CC0"/>
            <w:u w:val="single" w:color="103CC0"/>
          </w:rPr>
          <w:t>http://groundswellcenter.org/lessons-from-the-land/</w:t>
        </w:r>
      </w:hyperlink>
      <w:r w:rsidRPr="000C1A3B">
        <w:rPr>
          <w:rFonts w:ascii="Georgia" w:eastAsiaTheme="minorEastAsia" w:hAnsi="Georgia" w:cs="Arial"/>
          <w:color w:val="1A1A1A"/>
        </w:rPr>
        <w:t>.</w:t>
      </w:r>
    </w:p>
    <w:p w14:paraId="2168CBEC" w14:textId="77777777" w:rsidR="000C1A3B" w:rsidRPr="000C1A3B" w:rsidRDefault="000C1A3B" w:rsidP="000C1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color w:val="1A1A1A"/>
        </w:rPr>
      </w:pPr>
      <w:r w:rsidRPr="000C1A3B">
        <w:rPr>
          <w:rFonts w:ascii="Georgia" w:eastAsiaTheme="minorEastAsia" w:hAnsi="Georgia" w:cs="Arial"/>
          <w:color w:val="1A1A1A"/>
        </w:rPr>
        <w:t>Deadline:</w:t>
      </w:r>
      <w:r w:rsidRPr="000C1A3B">
        <w:rPr>
          <w:rFonts w:ascii="Georgia" w:eastAsiaTheme="minorEastAsia" w:hAnsi="Georgia" w:cs="Arial"/>
          <w:b/>
          <w:bCs/>
          <w:color w:val="1A1A1A"/>
        </w:rPr>
        <w:t xml:space="preserve"> August 12</w:t>
      </w:r>
    </w:p>
    <w:p w14:paraId="4C63D082" w14:textId="77777777" w:rsidR="000C1A3B" w:rsidRDefault="000C1A3B" w:rsidP="000C1A3B">
      <w:pPr>
        <w:pStyle w:val="NoSpacing"/>
        <w:rPr>
          <w:rFonts w:ascii="Georgia" w:eastAsiaTheme="minorEastAsia" w:hAnsi="Georgia" w:cs="Arial"/>
          <w:color w:val="1A1A1A"/>
          <w:sz w:val="22"/>
          <w:szCs w:val="22"/>
          <w:lang w:eastAsia="en-US"/>
        </w:rPr>
      </w:pPr>
    </w:p>
    <w:p w14:paraId="2C42F8C6" w14:textId="77777777" w:rsidR="000316A3" w:rsidRPr="006F0D04" w:rsidRDefault="000316A3" w:rsidP="000C1A3B">
      <w:pPr>
        <w:pStyle w:val="NoSpacing"/>
        <w:rPr>
          <w:rFonts w:ascii="Calibri" w:hAnsi="Calibri"/>
          <w:sz w:val="18"/>
          <w:szCs w:val="18"/>
        </w:rPr>
      </w:pPr>
    </w:p>
    <w:p w14:paraId="204E8CD6" w14:textId="77777777" w:rsidR="000C1A3B" w:rsidRPr="006F0D04" w:rsidRDefault="000C1A3B" w:rsidP="000C1A3B">
      <w:pPr>
        <w:pStyle w:val="NoSpacing"/>
        <w:rPr>
          <w:rFonts w:ascii="Calibri" w:hAnsi="Calibri"/>
          <w:sz w:val="18"/>
          <w:szCs w:val="18"/>
        </w:rPr>
      </w:pPr>
      <w:r w:rsidRPr="006F0D04">
        <w:rPr>
          <w:rFonts w:ascii="Calibri" w:hAnsi="Calibri" w:cs="Baskerville"/>
          <w:b/>
          <w:sz w:val="18"/>
          <w:szCs w:val="18"/>
        </w:rPr>
        <w:t xml:space="preserve">ABOUT </w:t>
      </w:r>
      <w:r>
        <w:rPr>
          <w:rFonts w:ascii="Calibri" w:hAnsi="Calibri" w:cs="Baskerville"/>
          <w:b/>
          <w:sz w:val="18"/>
          <w:szCs w:val="18"/>
        </w:rPr>
        <w:t>GROUNDSWELL CENTER</w:t>
      </w:r>
    </w:p>
    <w:p w14:paraId="007DBD78" w14:textId="77777777" w:rsidR="000C1A3B" w:rsidRDefault="000C1A3B" w:rsidP="000C1A3B">
      <w:pPr>
        <w:widowControl w:val="0"/>
        <w:autoSpaceDE w:val="0"/>
        <w:autoSpaceDN w:val="0"/>
        <w:adjustRightInd w:val="0"/>
        <w:jc w:val="both"/>
        <w:rPr>
          <w:rFonts w:asciiTheme="majorHAnsi" w:eastAsia="ＭＳ 明朝" w:hAnsiTheme="majorHAnsi" w:cs="Times"/>
          <w:color w:val="262626"/>
          <w:sz w:val="18"/>
          <w:szCs w:val="18"/>
        </w:rPr>
      </w:pPr>
      <w:r>
        <w:rPr>
          <w:rFonts w:asciiTheme="majorHAnsi" w:eastAsia="ＭＳ 明朝" w:hAnsiTheme="majorHAnsi" w:cs="Times"/>
          <w:color w:val="262626"/>
          <w:sz w:val="18"/>
          <w:szCs w:val="18"/>
        </w:rPr>
        <w:t>The</w:t>
      </w:r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Groundswell Center for Local Food &amp; Farming, </w:t>
      </w:r>
      <w:r>
        <w:rPr>
          <w:rFonts w:asciiTheme="majorHAnsi" w:eastAsia="ＭＳ 明朝" w:hAnsiTheme="majorHAnsi" w:cs="Times"/>
          <w:color w:val="262626"/>
          <w:sz w:val="18"/>
          <w:szCs w:val="18"/>
        </w:rPr>
        <w:t>believes</w:t>
      </w:r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in the right of all people to</w:t>
      </w:r>
      <w:r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access</w:t>
      </w:r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healthy and culturally appropriate food produced through ecologically sound methods. </w:t>
      </w:r>
      <w:r>
        <w:rPr>
          <w:rFonts w:asciiTheme="majorHAnsi" w:eastAsia="ＭＳ 明朝" w:hAnsiTheme="majorHAnsi" w:cs="Times"/>
          <w:color w:val="262626"/>
          <w:sz w:val="18"/>
          <w:szCs w:val="18"/>
        </w:rPr>
        <w:t>We also</w:t>
      </w:r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believe in</w:t>
      </w:r>
      <w:r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food sovereignty</w:t>
      </w:r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– the right of people and communities to control their own food and agriculture systems.</w:t>
      </w:r>
    </w:p>
    <w:p w14:paraId="72DA6242" w14:textId="77777777" w:rsidR="000C1A3B" w:rsidRPr="003A6FFF" w:rsidRDefault="000C1A3B" w:rsidP="000C1A3B">
      <w:pPr>
        <w:widowControl w:val="0"/>
        <w:autoSpaceDE w:val="0"/>
        <w:autoSpaceDN w:val="0"/>
        <w:adjustRightInd w:val="0"/>
        <w:jc w:val="both"/>
        <w:rPr>
          <w:rFonts w:asciiTheme="majorHAnsi" w:eastAsia="ＭＳ 明朝" w:hAnsiTheme="majorHAnsi" w:cs="Times"/>
          <w:color w:val="262626"/>
          <w:sz w:val="18"/>
          <w:szCs w:val="18"/>
        </w:rPr>
      </w:pPr>
    </w:p>
    <w:p w14:paraId="3EF86AA0" w14:textId="77777777" w:rsidR="000C1A3B" w:rsidRPr="003A6FFF" w:rsidRDefault="000C1A3B" w:rsidP="000C1A3B">
      <w:pPr>
        <w:widowControl w:val="0"/>
        <w:autoSpaceDE w:val="0"/>
        <w:autoSpaceDN w:val="0"/>
        <w:adjustRightInd w:val="0"/>
        <w:jc w:val="both"/>
        <w:rPr>
          <w:rFonts w:asciiTheme="majorHAnsi" w:eastAsia="ＭＳ 明朝" w:hAnsiTheme="majorHAnsi" w:cs="Times"/>
          <w:color w:val="262626"/>
          <w:sz w:val="18"/>
          <w:szCs w:val="18"/>
        </w:rPr>
      </w:pPr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Our mission is to engage diverse learners and empower them with skills, knowledge and access to resources, so they can build sustainable land-based livelihoods and equitable local food systems. We help people become successful small-scale farmers and homestead food producers through practical, on-farm training. Our peer-to-peer networks build community and foster </w:t>
      </w:r>
      <w:proofErr w:type="gramStart"/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>skills-sharing</w:t>
      </w:r>
      <w:proofErr w:type="gramEnd"/>
      <w:r w:rsidRPr="003A6FFF">
        <w:rPr>
          <w:rFonts w:asciiTheme="majorHAnsi" w:eastAsia="ＭＳ 明朝" w:hAnsiTheme="majorHAnsi" w:cs="Times"/>
          <w:color w:val="262626"/>
          <w:sz w:val="18"/>
          <w:szCs w:val="18"/>
        </w:rPr>
        <w:t xml:space="preserve"> among farmers, homesteaders and “food citizens.”</w:t>
      </w:r>
    </w:p>
    <w:p w14:paraId="5B1F49AD" w14:textId="77777777" w:rsidR="00E708C6" w:rsidRDefault="00E708C6"/>
    <w:sectPr w:rsidR="00E708C6" w:rsidSect="003861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B"/>
    <w:rsid w:val="000316A3"/>
    <w:rsid w:val="000C1A3B"/>
    <w:rsid w:val="007140F9"/>
    <w:rsid w:val="00DE2BC2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39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B"/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A3B"/>
    <w:rPr>
      <w:color w:val="0000FF"/>
      <w:u w:val="single"/>
    </w:rPr>
  </w:style>
  <w:style w:type="paragraph" w:styleId="NoSpacing">
    <w:name w:val="No Spacing"/>
    <w:uiPriority w:val="1"/>
    <w:qFormat/>
    <w:rsid w:val="000C1A3B"/>
    <w:rPr>
      <w:rFonts w:ascii="Palatino Linotype" w:eastAsia="ＭＳ 明朝" w:hAnsi="Palatino Linotype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B"/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A3B"/>
    <w:rPr>
      <w:color w:val="0000FF"/>
      <w:u w:val="single"/>
    </w:rPr>
  </w:style>
  <w:style w:type="paragraph" w:styleId="NoSpacing">
    <w:name w:val="No Spacing"/>
    <w:uiPriority w:val="1"/>
    <w:qFormat/>
    <w:rsid w:val="000C1A3B"/>
    <w:rPr>
      <w:rFonts w:ascii="Palatino Linotype" w:eastAsia="ＭＳ 明朝" w:hAnsi="Palatino Linotype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lb596@cornell.edu" TargetMode="External"/><Relationship Id="rId6" Type="http://schemas.openxmlformats.org/officeDocument/2006/relationships/hyperlink" Target="http://www.cornellconcertseries.com" TargetMode="External"/><Relationship Id="rId7" Type="http://schemas.openxmlformats.org/officeDocument/2006/relationships/hyperlink" Target="http://groundswellcenter.org/" TargetMode="External"/><Relationship Id="rId8" Type="http://schemas.openxmlformats.org/officeDocument/2006/relationships/hyperlink" Target="http://smallfarms.cornell.edu/" TargetMode="External"/><Relationship Id="rId9" Type="http://schemas.openxmlformats.org/officeDocument/2006/relationships/hyperlink" Target="http://groundswellcenter.org/lessons-from-the-land/" TargetMode="External"/><Relationship Id="rId10" Type="http://schemas.openxmlformats.org/officeDocument/2006/relationships/hyperlink" Target="http://groundswellcenter.org/lessons-from-the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2016-07-13T17:31:00Z</dcterms:created>
  <dcterms:modified xsi:type="dcterms:W3CDTF">2016-07-13T17:52:00Z</dcterms:modified>
</cp:coreProperties>
</file>